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98" w:type="dxa"/>
        <w:tblLook w:val="04A0" w:firstRow="1" w:lastRow="0" w:firstColumn="1" w:lastColumn="0" w:noHBand="0" w:noVBand="1"/>
      </w:tblPr>
      <w:tblGrid>
        <w:gridCol w:w="2988"/>
        <w:gridCol w:w="1260"/>
        <w:gridCol w:w="2790"/>
        <w:gridCol w:w="2160"/>
      </w:tblGrid>
      <w:tr w:rsidR="00672AA5" w:rsidRPr="009928C1" w:rsidTr="00672AA5">
        <w:tc>
          <w:tcPr>
            <w:tcW w:w="2988" w:type="dxa"/>
          </w:tcPr>
          <w:p w:rsidR="00672AA5" w:rsidRPr="009928C1" w:rsidRDefault="00672AA5" w:rsidP="00F82BD3">
            <w:pPr>
              <w:jc w:val="both"/>
              <w:rPr>
                <w:rStyle w:val="IntenseEmphasis"/>
              </w:rPr>
            </w:pPr>
            <w:r w:rsidRPr="009928C1">
              <w:rPr>
                <w:rStyle w:val="IntenseEmphasis"/>
              </w:rPr>
              <w:t>Proposer</w:t>
            </w:r>
          </w:p>
        </w:tc>
        <w:tc>
          <w:tcPr>
            <w:tcW w:w="1260" w:type="dxa"/>
          </w:tcPr>
          <w:p w:rsidR="00672AA5" w:rsidRPr="009928C1" w:rsidRDefault="00672AA5" w:rsidP="00F82BD3">
            <w:pPr>
              <w:jc w:val="both"/>
              <w:rPr>
                <w:rStyle w:val="IntenseEmphasis"/>
              </w:rPr>
            </w:pPr>
            <w:r w:rsidRPr="009928C1">
              <w:rPr>
                <w:rStyle w:val="IntenseEmphasis"/>
              </w:rPr>
              <w:t>Date</w:t>
            </w:r>
          </w:p>
        </w:tc>
        <w:tc>
          <w:tcPr>
            <w:tcW w:w="2790" w:type="dxa"/>
          </w:tcPr>
          <w:p w:rsidR="00672AA5" w:rsidRPr="009928C1" w:rsidRDefault="00672AA5" w:rsidP="00F82BD3">
            <w:pPr>
              <w:rPr>
                <w:rStyle w:val="IntenseEmphasis"/>
              </w:rPr>
            </w:pPr>
            <w:r>
              <w:rPr>
                <w:rStyle w:val="IntenseEmphasis"/>
              </w:rPr>
              <w:t>Phone and Email address</w:t>
            </w:r>
          </w:p>
        </w:tc>
        <w:tc>
          <w:tcPr>
            <w:tcW w:w="2160" w:type="dxa"/>
          </w:tcPr>
          <w:p w:rsidR="00672AA5" w:rsidRDefault="00672AA5" w:rsidP="00F82BD3">
            <w:pPr>
              <w:jc w:val="both"/>
              <w:rPr>
                <w:rStyle w:val="IntenseEmphasis"/>
              </w:rPr>
            </w:pPr>
            <w:r>
              <w:rPr>
                <w:rStyle w:val="IntenseEmphasis"/>
              </w:rPr>
              <w:t>Reference Number</w:t>
            </w:r>
          </w:p>
          <w:p w:rsidR="00672AA5" w:rsidRPr="006C7BC7" w:rsidRDefault="00672AA5" w:rsidP="00F82BD3">
            <w:pPr>
              <w:jc w:val="both"/>
              <w:rPr>
                <w:rStyle w:val="IntenseEmphasis"/>
                <w:sz w:val="18"/>
              </w:rPr>
            </w:pPr>
            <w:r w:rsidRPr="006C7BC7">
              <w:rPr>
                <w:rStyle w:val="IntenseEmphasis"/>
                <w:sz w:val="18"/>
              </w:rPr>
              <w:t>(to be filled out by Secretariat)</w:t>
            </w:r>
          </w:p>
        </w:tc>
      </w:tr>
      <w:tr w:rsidR="00672AA5" w:rsidRPr="009928C1" w:rsidTr="00672AA5">
        <w:trPr>
          <w:trHeight w:val="323"/>
        </w:trPr>
        <w:tc>
          <w:tcPr>
            <w:tcW w:w="2988" w:type="dxa"/>
          </w:tcPr>
          <w:p w:rsidR="00672AA5" w:rsidRDefault="00672AA5" w:rsidP="00F82BD3">
            <w:pPr>
              <w:jc w:val="both"/>
            </w:pPr>
          </w:p>
          <w:p w:rsidR="00672AA5" w:rsidRDefault="00DA2C0B" w:rsidP="00F82BD3">
            <w:pPr>
              <w:jc w:val="both"/>
            </w:pPr>
            <w:r>
              <w:t>Michael Kelly</w:t>
            </w:r>
          </w:p>
          <w:p w:rsidR="00672AA5" w:rsidRPr="009928C1" w:rsidRDefault="00672AA5" w:rsidP="00F82BD3">
            <w:pPr>
              <w:jc w:val="both"/>
            </w:pPr>
          </w:p>
        </w:tc>
        <w:tc>
          <w:tcPr>
            <w:tcW w:w="1260" w:type="dxa"/>
          </w:tcPr>
          <w:p w:rsidR="00672AA5" w:rsidRPr="009928C1" w:rsidRDefault="00DA2C0B" w:rsidP="00F23C27">
            <w:pPr>
              <w:jc w:val="both"/>
            </w:pPr>
            <w:r>
              <w:t>26</w:t>
            </w:r>
            <w:r w:rsidRPr="00DA2C0B">
              <w:rPr>
                <w:vertAlign w:val="superscript"/>
              </w:rPr>
              <w:t>th</w:t>
            </w:r>
            <w:r>
              <w:t xml:space="preserve"> March 2018</w:t>
            </w:r>
          </w:p>
        </w:tc>
        <w:tc>
          <w:tcPr>
            <w:tcW w:w="2790" w:type="dxa"/>
          </w:tcPr>
          <w:p w:rsidR="00672AA5" w:rsidRPr="009928C1" w:rsidRDefault="00DA2C0B" w:rsidP="00415BA8">
            <w:pPr>
              <w:jc w:val="both"/>
            </w:pPr>
            <w:r>
              <w:t>Michael.kelly@eirgrid.com</w:t>
            </w:r>
          </w:p>
        </w:tc>
        <w:tc>
          <w:tcPr>
            <w:tcW w:w="2160" w:type="dxa"/>
          </w:tcPr>
          <w:p w:rsidR="00672AA5" w:rsidRPr="009928C1" w:rsidRDefault="002336C4" w:rsidP="00F23C27">
            <w:pPr>
              <w:jc w:val="both"/>
            </w:pPr>
            <w:r>
              <w:t>MCF_06_18 Liability Terms</w:t>
            </w:r>
          </w:p>
        </w:tc>
      </w:tr>
      <w:tr w:rsidR="00672AA5" w:rsidRPr="009928C1" w:rsidTr="00672AA5">
        <w:tc>
          <w:tcPr>
            <w:tcW w:w="2988" w:type="dxa"/>
          </w:tcPr>
          <w:p w:rsidR="00672AA5" w:rsidRPr="009928C1" w:rsidRDefault="00672AA5" w:rsidP="00F82BD3">
            <w:pPr>
              <w:jc w:val="both"/>
              <w:rPr>
                <w:rStyle w:val="IntenseEmphasis"/>
              </w:rPr>
            </w:pPr>
            <w:r w:rsidRPr="009928C1">
              <w:rPr>
                <w:rStyle w:val="IntenseEmphasis"/>
              </w:rPr>
              <w:t>Document section to change</w:t>
            </w:r>
          </w:p>
        </w:tc>
        <w:tc>
          <w:tcPr>
            <w:tcW w:w="6210" w:type="dxa"/>
            <w:gridSpan w:val="3"/>
          </w:tcPr>
          <w:p w:rsidR="00672AA5" w:rsidRPr="009928C1" w:rsidRDefault="00672AA5" w:rsidP="00F82BD3">
            <w:pPr>
              <w:jc w:val="both"/>
              <w:rPr>
                <w:rStyle w:val="IntenseEmphasis"/>
              </w:rPr>
            </w:pPr>
            <w:r w:rsidRPr="009928C1">
              <w:rPr>
                <w:rStyle w:val="IntenseEmphasis"/>
              </w:rPr>
              <w:t>Changes explained</w:t>
            </w:r>
          </w:p>
        </w:tc>
      </w:tr>
      <w:tr w:rsidR="00672AA5" w:rsidRPr="009928C1" w:rsidTr="00672AA5">
        <w:tc>
          <w:tcPr>
            <w:tcW w:w="2988" w:type="dxa"/>
          </w:tcPr>
          <w:p w:rsidR="00672AA5" w:rsidRPr="009928C1" w:rsidRDefault="00DA2C0B" w:rsidP="00DA2C0B">
            <w:pPr>
              <w:tabs>
                <w:tab w:val="left" w:pos="1915"/>
              </w:tabs>
              <w:jc w:val="both"/>
            </w:pPr>
            <w:r>
              <w:t xml:space="preserve">G.3.2.5 and definitions </w:t>
            </w:r>
          </w:p>
        </w:tc>
        <w:tc>
          <w:tcPr>
            <w:tcW w:w="6210" w:type="dxa"/>
            <w:gridSpan w:val="3"/>
          </w:tcPr>
          <w:p w:rsidR="001358C0" w:rsidRDefault="00DA2C0B" w:rsidP="003274E6">
            <w:pPr>
              <w:jc w:val="both"/>
            </w:pPr>
            <w:r>
              <w:t>Conside</w:t>
            </w:r>
            <w:r w:rsidR="003274E6">
              <w:t xml:space="preserve">ration was given to placing liability terms </w:t>
            </w:r>
            <w:r>
              <w:t xml:space="preserve">in the membership agreement or </w:t>
            </w:r>
            <w:proofErr w:type="spellStart"/>
            <w:r>
              <w:t>SEMOpx</w:t>
            </w:r>
            <w:proofErr w:type="spellEnd"/>
            <w:r>
              <w:t xml:space="preserve"> rules.</w:t>
            </w:r>
            <w:r w:rsidR="003274E6">
              <w:t xml:space="preserve"> Such clauses were not included in the first set of rules</w:t>
            </w:r>
            <w:r w:rsidR="007A2022">
              <w:t xml:space="preserve">. It has been decided to include these terms in the </w:t>
            </w:r>
            <w:proofErr w:type="spellStart"/>
            <w:r w:rsidR="007A2022">
              <w:t>SEMOpx</w:t>
            </w:r>
            <w:proofErr w:type="spellEnd"/>
            <w:r w:rsidR="007A2022">
              <w:t xml:space="preserve"> rules.</w:t>
            </w:r>
          </w:p>
          <w:p w:rsidR="007A2022" w:rsidRDefault="007A2022" w:rsidP="003274E6">
            <w:pPr>
              <w:jc w:val="both"/>
            </w:pPr>
          </w:p>
          <w:p w:rsidR="007A2022" w:rsidRPr="009928C1" w:rsidRDefault="007A2022" w:rsidP="003274E6">
            <w:pPr>
              <w:jc w:val="both"/>
            </w:pPr>
            <w:r>
              <w:t xml:space="preserve">The terms and supporting rationale were discussed at the Interim </w:t>
            </w:r>
            <w:proofErr w:type="spellStart"/>
            <w:r>
              <w:t>SEMOpx</w:t>
            </w:r>
            <w:proofErr w:type="spellEnd"/>
            <w:r>
              <w:t xml:space="preserve"> Consultative Committee on 13</w:t>
            </w:r>
            <w:r w:rsidRPr="007A2022">
              <w:rPr>
                <w:vertAlign w:val="superscript"/>
              </w:rPr>
              <w:t>th</w:t>
            </w:r>
            <w:r>
              <w:t xml:space="preserve"> February. A 10 day consultation was held.  Five </w:t>
            </w:r>
            <w:r w:rsidR="00042A32">
              <w:t>participants</w:t>
            </w:r>
            <w:r>
              <w:t xml:space="preserve"> provided feedback on the proposed changes to the Rules</w:t>
            </w:r>
            <w:r w:rsidR="00042A32">
              <w:t xml:space="preserve">.  There feedback and </w:t>
            </w:r>
            <w:proofErr w:type="spellStart"/>
            <w:r w:rsidR="00042A32">
              <w:t>SEMOpx</w:t>
            </w:r>
            <w:proofErr w:type="spellEnd"/>
            <w:r w:rsidR="00042A32">
              <w:t xml:space="preserve"> responses are attached.</w:t>
            </w:r>
            <w:r w:rsidR="00BF4B76">
              <w:t xml:space="preserve">  Member feedback and resulting changes to the proposal was discussed at the Interim Consultative Committee on 14</w:t>
            </w:r>
            <w:r w:rsidR="00BF4B76" w:rsidRPr="00BF4B76">
              <w:rPr>
                <w:vertAlign w:val="superscript"/>
              </w:rPr>
              <w:t>th</w:t>
            </w:r>
            <w:r w:rsidR="00BF4B76">
              <w:t xml:space="preserve"> March</w:t>
            </w:r>
          </w:p>
        </w:tc>
      </w:tr>
      <w:tr w:rsidR="00672AA5" w:rsidRPr="009928C1" w:rsidTr="00672AA5">
        <w:tc>
          <w:tcPr>
            <w:tcW w:w="9198" w:type="dxa"/>
            <w:gridSpan w:val="4"/>
          </w:tcPr>
          <w:p w:rsidR="00672AA5" w:rsidRPr="009928C1" w:rsidRDefault="00672AA5" w:rsidP="00F82BD3">
            <w:pPr>
              <w:jc w:val="both"/>
            </w:pPr>
            <w:r w:rsidRPr="009928C1">
              <w:rPr>
                <w:rStyle w:val="IntenseEmphasis"/>
              </w:rPr>
              <w:t>Text changes (tracked)</w:t>
            </w:r>
          </w:p>
        </w:tc>
      </w:tr>
      <w:tr w:rsidR="00672AA5" w:rsidRPr="009928C1" w:rsidTr="00672AA5">
        <w:tc>
          <w:tcPr>
            <w:tcW w:w="9198" w:type="dxa"/>
            <w:gridSpan w:val="4"/>
          </w:tcPr>
          <w:p w:rsidR="00042A32" w:rsidRPr="00042A32" w:rsidRDefault="00042A32" w:rsidP="00042A32">
            <w:pPr>
              <w:jc w:val="both"/>
              <w:rPr>
                <w:b/>
                <w:bCs/>
                <w:iCs/>
              </w:rPr>
            </w:pPr>
            <w:r w:rsidRPr="00042A32">
              <w:rPr>
                <w:b/>
                <w:bCs/>
                <w:iCs/>
                <w:lang w:val="en-US"/>
              </w:rPr>
              <w:t>Updated paragraph G.3.2.5</w:t>
            </w:r>
          </w:p>
          <w:p w:rsidR="006829D6" w:rsidRPr="00042A32" w:rsidRDefault="00BF4B76" w:rsidP="00042A32">
            <w:pPr>
              <w:numPr>
                <w:ilvl w:val="0"/>
                <w:numId w:val="2"/>
              </w:numPr>
              <w:jc w:val="both"/>
              <w:rPr>
                <w:b/>
                <w:bCs/>
                <w:iCs/>
              </w:rPr>
            </w:pPr>
            <w:r w:rsidRPr="00042A32">
              <w:rPr>
                <w:b/>
                <w:bCs/>
                <w:i/>
                <w:iCs/>
                <w:lang w:val="en-US"/>
              </w:rPr>
              <w:t xml:space="preserve">G.3.2.5             Subject to paragraph 3.1, paragraphs 3.2.1 to 3.2.4 and paragraph 3.2.7, under no circumstances shall the total aggregate liability of </w:t>
            </w:r>
            <w:proofErr w:type="spellStart"/>
            <w:r w:rsidRPr="00042A32">
              <w:rPr>
                <w:b/>
                <w:bCs/>
                <w:i/>
                <w:iCs/>
                <w:lang w:val="en-US"/>
              </w:rPr>
              <w:t>SEMOpx</w:t>
            </w:r>
            <w:proofErr w:type="spellEnd"/>
            <w:r w:rsidRPr="00042A32">
              <w:rPr>
                <w:b/>
                <w:bCs/>
                <w:i/>
                <w:iCs/>
                <w:lang w:val="en-US"/>
              </w:rPr>
              <w:t xml:space="preserve"> to each Exchange Member (however arising) under or in connection with these </w:t>
            </w:r>
            <w:proofErr w:type="spellStart"/>
            <w:r w:rsidRPr="00042A32">
              <w:rPr>
                <w:b/>
                <w:bCs/>
                <w:i/>
                <w:iCs/>
                <w:lang w:val="en-US"/>
              </w:rPr>
              <w:t>SEMOpx</w:t>
            </w:r>
            <w:proofErr w:type="spellEnd"/>
            <w:r w:rsidRPr="00042A32">
              <w:rPr>
                <w:b/>
                <w:bCs/>
                <w:i/>
                <w:iCs/>
                <w:lang w:val="en-US"/>
              </w:rPr>
              <w:t xml:space="preserve"> Rules, the Procedures or the Exchange Membership Agreement, including (but not limited to) liability for breach of contract, misrepresentation (whether tortious or statutory), tort (including but not limited to negligence), breach of statutory duty or otherwise, exceed the following financial caps:</w:t>
            </w:r>
          </w:p>
          <w:p w:rsidR="006829D6" w:rsidRPr="00042A32" w:rsidRDefault="00BF4B76" w:rsidP="00042A32">
            <w:pPr>
              <w:numPr>
                <w:ilvl w:val="0"/>
                <w:numId w:val="2"/>
              </w:numPr>
              <w:jc w:val="both"/>
              <w:rPr>
                <w:b/>
                <w:bCs/>
                <w:iCs/>
              </w:rPr>
            </w:pPr>
            <w:r w:rsidRPr="00042A32">
              <w:rPr>
                <w:b/>
                <w:bCs/>
                <w:i/>
                <w:iCs/>
                <w:lang w:val="en-US"/>
              </w:rPr>
              <w:t xml:space="preserve">(a)        in respect of </w:t>
            </w:r>
            <w:proofErr w:type="spellStart"/>
            <w:r w:rsidRPr="00042A32">
              <w:rPr>
                <w:b/>
                <w:bCs/>
                <w:i/>
                <w:iCs/>
                <w:lang w:val="en-US"/>
              </w:rPr>
              <w:t>SEMOpx's</w:t>
            </w:r>
            <w:proofErr w:type="spellEnd"/>
            <w:r w:rsidRPr="00042A32">
              <w:rPr>
                <w:b/>
                <w:bCs/>
                <w:i/>
                <w:iCs/>
                <w:lang w:val="en-US"/>
              </w:rPr>
              <w:t xml:space="preserve"> liability to each Exchange Member in respect of each Operational Incident, a sum</w:t>
            </w:r>
            <w:r w:rsidR="008A16E4">
              <w:rPr>
                <w:b/>
                <w:bCs/>
                <w:i/>
                <w:iCs/>
                <w:lang w:val="en-US"/>
              </w:rPr>
              <w:t xml:space="preserve"> equal to the greater of: (</w:t>
            </w:r>
            <w:proofErr w:type="spellStart"/>
            <w:r w:rsidR="008A16E4">
              <w:rPr>
                <w:b/>
                <w:bCs/>
                <w:i/>
                <w:iCs/>
                <w:lang w:val="en-US"/>
              </w:rPr>
              <w:t>i</w:t>
            </w:r>
            <w:proofErr w:type="spellEnd"/>
            <w:r w:rsidR="008A16E4">
              <w:rPr>
                <w:b/>
                <w:bCs/>
                <w:i/>
                <w:iCs/>
                <w:lang w:val="en-US"/>
              </w:rPr>
              <w:t>) €2</w:t>
            </w:r>
            <w:r w:rsidRPr="00042A32">
              <w:rPr>
                <w:b/>
                <w:bCs/>
                <w:i/>
                <w:iCs/>
                <w:lang w:val="en-US"/>
              </w:rPr>
              <w:t xml:space="preserve">,000; and (ii) the charges </w:t>
            </w:r>
            <w:r w:rsidRPr="00042A32">
              <w:rPr>
                <w:b/>
                <w:bCs/>
                <w:i/>
                <w:iCs/>
                <w:u w:val="single"/>
                <w:lang w:val="en-US"/>
              </w:rPr>
              <w:t xml:space="preserve">Relevant Charges </w:t>
            </w:r>
            <w:r w:rsidRPr="00042A32">
              <w:rPr>
                <w:b/>
                <w:bCs/>
                <w:i/>
                <w:iCs/>
                <w:lang w:val="en-US"/>
              </w:rPr>
              <w:t>paid or payable by the applicable Exchange Member</w:t>
            </w:r>
            <w:r w:rsidR="008A16E4">
              <w:rPr>
                <w:b/>
                <w:bCs/>
                <w:i/>
                <w:iCs/>
                <w:lang w:val="en-US"/>
              </w:rPr>
              <w:t xml:space="preserve"> to </w:t>
            </w:r>
            <w:proofErr w:type="spellStart"/>
            <w:r w:rsidR="008A16E4">
              <w:rPr>
                <w:b/>
                <w:bCs/>
                <w:i/>
                <w:iCs/>
                <w:lang w:val="en-US"/>
              </w:rPr>
              <w:t>SEMOpx</w:t>
            </w:r>
            <w:proofErr w:type="spellEnd"/>
            <w:r w:rsidR="008A16E4">
              <w:rPr>
                <w:b/>
                <w:bCs/>
                <w:i/>
                <w:iCs/>
                <w:lang w:val="en-US"/>
              </w:rPr>
              <w:t xml:space="preserve"> in respect of the </w:t>
            </w:r>
            <w:r w:rsidRPr="00042A32">
              <w:rPr>
                <w:b/>
                <w:bCs/>
                <w:i/>
                <w:iCs/>
                <w:u w:val="single"/>
                <w:lang w:val="en-US"/>
              </w:rPr>
              <w:t>40</w:t>
            </w:r>
            <w:r w:rsidRPr="00042A32">
              <w:rPr>
                <w:b/>
                <w:bCs/>
                <w:i/>
                <w:iCs/>
                <w:lang w:val="en-US"/>
              </w:rPr>
              <w:t xml:space="preserve"> days preceding </w:t>
            </w:r>
            <w:r w:rsidRPr="00042A32">
              <w:rPr>
                <w:b/>
                <w:bCs/>
                <w:i/>
                <w:iCs/>
                <w:u w:val="single"/>
                <w:lang w:val="en-US"/>
              </w:rPr>
              <w:t xml:space="preserve">the occurrence of the root cause or first event in respect of </w:t>
            </w:r>
            <w:r w:rsidRPr="00042A32">
              <w:rPr>
                <w:b/>
                <w:bCs/>
                <w:i/>
                <w:iCs/>
                <w:lang w:val="en-US"/>
              </w:rPr>
              <w:t>such Operational Incident and subject always to the yearly cap set out in paragraph G.3.2.5(b)); and</w:t>
            </w:r>
          </w:p>
          <w:p w:rsidR="006829D6" w:rsidRPr="00042A32" w:rsidRDefault="00BF4B76" w:rsidP="00042A32">
            <w:pPr>
              <w:numPr>
                <w:ilvl w:val="0"/>
                <w:numId w:val="2"/>
              </w:numPr>
              <w:jc w:val="both"/>
              <w:rPr>
                <w:b/>
                <w:bCs/>
                <w:iCs/>
              </w:rPr>
            </w:pPr>
            <w:r w:rsidRPr="00042A32">
              <w:rPr>
                <w:b/>
                <w:bCs/>
                <w:i/>
                <w:iCs/>
                <w:lang w:val="en-US"/>
              </w:rPr>
              <w:t xml:space="preserve">(b)        in respect of </w:t>
            </w:r>
            <w:proofErr w:type="spellStart"/>
            <w:r w:rsidRPr="00042A32">
              <w:rPr>
                <w:b/>
                <w:bCs/>
                <w:i/>
                <w:iCs/>
                <w:lang w:val="en-US"/>
              </w:rPr>
              <w:t>SEMOpx's</w:t>
            </w:r>
            <w:proofErr w:type="spellEnd"/>
            <w:r w:rsidRPr="00042A32">
              <w:rPr>
                <w:b/>
                <w:bCs/>
                <w:i/>
                <w:iCs/>
                <w:lang w:val="en-US"/>
              </w:rPr>
              <w:t xml:space="preserve"> liability to each Exchange Member arising in any calendar year, a sum equal to the greater of: (</w:t>
            </w:r>
            <w:proofErr w:type="spellStart"/>
            <w:r w:rsidRPr="00042A32">
              <w:rPr>
                <w:b/>
                <w:bCs/>
                <w:i/>
                <w:iCs/>
                <w:lang w:val="en-US"/>
              </w:rPr>
              <w:t>i</w:t>
            </w:r>
            <w:proofErr w:type="spellEnd"/>
            <w:r w:rsidRPr="00042A32">
              <w:rPr>
                <w:b/>
                <w:bCs/>
                <w:i/>
                <w:iCs/>
                <w:lang w:val="en-US"/>
              </w:rPr>
              <w:t>) €6,500; and (ii)] one third (1/3</w:t>
            </w:r>
            <w:r w:rsidRPr="00042A32">
              <w:rPr>
                <w:b/>
                <w:bCs/>
                <w:i/>
                <w:iCs/>
                <w:vertAlign w:val="superscript"/>
                <w:lang w:val="en-US"/>
              </w:rPr>
              <w:t>rd</w:t>
            </w:r>
            <w:r w:rsidRPr="00042A32">
              <w:rPr>
                <w:b/>
                <w:bCs/>
                <w:i/>
                <w:iCs/>
                <w:lang w:val="en-US"/>
              </w:rPr>
              <w:t xml:space="preserve">) of the charges </w:t>
            </w:r>
            <w:r w:rsidRPr="00042A32">
              <w:rPr>
                <w:b/>
                <w:bCs/>
                <w:i/>
                <w:iCs/>
                <w:u w:val="single"/>
                <w:lang w:val="en-US"/>
              </w:rPr>
              <w:t xml:space="preserve">Relevant Charges </w:t>
            </w:r>
            <w:r w:rsidRPr="00042A32">
              <w:rPr>
                <w:b/>
                <w:bCs/>
                <w:i/>
                <w:iCs/>
                <w:lang w:val="en-US"/>
              </w:rPr>
              <w:t xml:space="preserve">paid by the applicable Exchange Member to </w:t>
            </w:r>
            <w:proofErr w:type="spellStart"/>
            <w:r w:rsidRPr="00042A32">
              <w:rPr>
                <w:b/>
                <w:bCs/>
                <w:i/>
                <w:iCs/>
                <w:lang w:val="en-US"/>
              </w:rPr>
              <w:t>SEMOpx</w:t>
            </w:r>
            <w:proofErr w:type="spellEnd"/>
            <w:r w:rsidRPr="00042A32">
              <w:rPr>
                <w:b/>
                <w:bCs/>
                <w:i/>
                <w:iCs/>
                <w:lang w:val="en-US"/>
              </w:rPr>
              <w:t xml:space="preserve"> in such year</w:t>
            </w:r>
          </w:p>
          <w:p w:rsidR="00042A32" w:rsidRPr="00042A32" w:rsidRDefault="00042A32" w:rsidP="00042A32">
            <w:pPr>
              <w:jc w:val="both"/>
              <w:rPr>
                <w:b/>
                <w:bCs/>
                <w:iCs/>
              </w:rPr>
            </w:pPr>
            <w:r w:rsidRPr="00042A32">
              <w:rPr>
                <w:b/>
                <w:bCs/>
                <w:i/>
                <w:iCs/>
              </w:rPr>
              <w:t xml:space="preserve">“Operational Incident” means any event or series of related events in respect of which </w:t>
            </w:r>
            <w:proofErr w:type="spellStart"/>
            <w:r w:rsidRPr="00042A32">
              <w:rPr>
                <w:b/>
                <w:bCs/>
                <w:i/>
                <w:iCs/>
              </w:rPr>
              <w:t>SEMOpx's</w:t>
            </w:r>
            <w:proofErr w:type="spellEnd"/>
            <w:r w:rsidRPr="00042A32">
              <w:rPr>
                <w:b/>
                <w:bCs/>
                <w:i/>
                <w:iCs/>
              </w:rPr>
              <w:t xml:space="preserve"> liability to any Exchange Member arises (whether under or in connection with these </w:t>
            </w:r>
            <w:proofErr w:type="spellStart"/>
            <w:r w:rsidRPr="00042A32">
              <w:rPr>
                <w:b/>
                <w:bCs/>
                <w:i/>
                <w:iCs/>
              </w:rPr>
              <w:t>SEMOpx</w:t>
            </w:r>
            <w:proofErr w:type="spellEnd"/>
            <w:r w:rsidRPr="00042A32">
              <w:rPr>
                <w:b/>
                <w:bCs/>
                <w:i/>
                <w:iCs/>
              </w:rPr>
              <w:t xml:space="preserve"> Rules, the Procedures or the Exchange Membership Agreement). By way of example, such an event or series of related events may affect multiple Market Segments and/or Trading Periods. For the purposes of this definition, a series of related events includes: (</w:t>
            </w:r>
            <w:proofErr w:type="spellStart"/>
            <w:r w:rsidRPr="00042A32">
              <w:rPr>
                <w:b/>
                <w:bCs/>
                <w:i/>
                <w:iCs/>
              </w:rPr>
              <w:t>i</w:t>
            </w:r>
            <w:proofErr w:type="spellEnd"/>
            <w:r w:rsidRPr="00042A32">
              <w:rPr>
                <w:b/>
                <w:bCs/>
                <w:i/>
                <w:iCs/>
              </w:rPr>
              <w:t xml:space="preserve">) an event that gives rise to one or more different events; and (ii) a root </w:t>
            </w:r>
            <w:proofErr w:type="gramStart"/>
            <w:r w:rsidRPr="00042A32">
              <w:rPr>
                <w:b/>
                <w:bCs/>
                <w:i/>
                <w:iCs/>
              </w:rPr>
              <w:t>cause</w:t>
            </w:r>
            <w:proofErr w:type="gramEnd"/>
            <w:r w:rsidRPr="00042A32">
              <w:rPr>
                <w:b/>
                <w:bCs/>
                <w:i/>
                <w:iCs/>
              </w:rPr>
              <w:t xml:space="preserve"> that gives rise to two or more different events. </w:t>
            </w:r>
          </w:p>
          <w:p w:rsidR="00042A32" w:rsidRPr="00042A32" w:rsidRDefault="00042A32" w:rsidP="00042A32">
            <w:pPr>
              <w:jc w:val="both"/>
              <w:rPr>
                <w:b/>
                <w:bCs/>
                <w:iCs/>
              </w:rPr>
            </w:pPr>
            <w:r w:rsidRPr="00042A32">
              <w:rPr>
                <w:b/>
                <w:bCs/>
                <w:i/>
                <w:iCs/>
                <w:lang w:val="en-US"/>
              </w:rPr>
              <w:t xml:space="preserve">“Relevant Charges” means all fees, charges and tariffs payable under the </w:t>
            </w:r>
            <w:proofErr w:type="spellStart"/>
            <w:r w:rsidRPr="00042A32">
              <w:rPr>
                <w:b/>
                <w:bCs/>
                <w:i/>
                <w:iCs/>
                <w:lang w:val="en-US"/>
              </w:rPr>
              <w:t>SEMOpx</w:t>
            </w:r>
            <w:proofErr w:type="spellEnd"/>
            <w:r w:rsidRPr="00042A32">
              <w:rPr>
                <w:b/>
                <w:bCs/>
                <w:i/>
                <w:iCs/>
                <w:lang w:val="en-US"/>
              </w:rPr>
              <w:t xml:space="preserve"> Statement of Charges, excluding any Accession Fee(s).</w:t>
            </w:r>
          </w:p>
          <w:p w:rsidR="00672AA5" w:rsidRPr="009928C1" w:rsidRDefault="00672AA5" w:rsidP="00F82BD3">
            <w:pPr>
              <w:jc w:val="both"/>
              <w:rPr>
                <w:b/>
                <w:bCs/>
                <w:iCs/>
              </w:rPr>
            </w:pPr>
          </w:p>
          <w:p w:rsidR="00672AA5" w:rsidRPr="009928C1" w:rsidRDefault="00672AA5" w:rsidP="00F82BD3">
            <w:pPr>
              <w:jc w:val="both"/>
              <w:rPr>
                <w:b/>
                <w:bCs/>
                <w:iCs/>
              </w:rPr>
            </w:pPr>
          </w:p>
        </w:tc>
        <w:bookmarkStart w:id="0" w:name="_GoBack"/>
        <w:bookmarkEnd w:id="0"/>
      </w:tr>
      <w:tr w:rsidR="00672AA5" w:rsidRPr="009928C1" w:rsidTr="00672AA5">
        <w:tc>
          <w:tcPr>
            <w:tcW w:w="2988" w:type="dxa"/>
          </w:tcPr>
          <w:p w:rsidR="00672AA5" w:rsidRPr="009928C1" w:rsidRDefault="00672AA5" w:rsidP="00F82BD3">
            <w:pPr>
              <w:jc w:val="both"/>
              <w:rPr>
                <w:b/>
                <w:bCs/>
                <w:i/>
                <w:iCs/>
              </w:rPr>
            </w:pPr>
            <w:r w:rsidRPr="009928C1">
              <w:rPr>
                <w:rStyle w:val="IntenseEmphasis"/>
              </w:rPr>
              <w:t>Exchange Committee views</w:t>
            </w:r>
          </w:p>
        </w:tc>
        <w:tc>
          <w:tcPr>
            <w:tcW w:w="4050" w:type="dxa"/>
            <w:gridSpan w:val="2"/>
          </w:tcPr>
          <w:p w:rsidR="00672AA5" w:rsidRPr="009928C1" w:rsidRDefault="00672AA5" w:rsidP="00F82BD3">
            <w:pPr>
              <w:jc w:val="both"/>
              <w:rPr>
                <w:rStyle w:val="IntenseEmphasis"/>
              </w:rPr>
            </w:pPr>
            <w:proofErr w:type="spellStart"/>
            <w:r w:rsidRPr="009928C1">
              <w:rPr>
                <w:rStyle w:val="IntenseEmphasis"/>
              </w:rPr>
              <w:t>SEMOpx</w:t>
            </w:r>
            <w:proofErr w:type="spellEnd"/>
            <w:r w:rsidRPr="009928C1">
              <w:rPr>
                <w:rStyle w:val="IntenseEmphasis"/>
              </w:rPr>
              <w:t xml:space="preserve"> Views</w:t>
            </w:r>
          </w:p>
        </w:tc>
        <w:tc>
          <w:tcPr>
            <w:tcW w:w="2160" w:type="dxa"/>
          </w:tcPr>
          <w:p w:rsidR="00672AA5" w:rsidRPr="009928C1" w:rsidRDefault="00672AA5" w:rsidP="00F82BD3">
            <w:pPr>
              <w:jc w:val="both"/>
              <w:rPr>
                <w:rStyle w:val="IntenseEmphasis"/>
              </w:rPr>
            </w:pPr>
            <w:r w:rsidRPr="009928C1">
              <w:rPr>
                <w:rStyle w:val="IntenseEmphasis"/>
              </w:rPr>
              <w:t xml:space="preserve">Final Decision </w:t>
            </w:r>
          </w:p>
          <w:p w:rsidR="00672AA5" w:rsidRPr="009928C1" w:rsidRDefault="00672AA5" w:rsidP="00F82BD3">
            <w:pPr>
              <w:jc w:val="both"/>
              <w:rPr>
                <w:rStyle w:val="IntenseEmphasis"/>
              </w:rPr>
            </w:pPr>
            <w:r w:rsidRPr="009928C1">
              <w:rPr>
                <w:rStyle w:val="IntenseEmphasis"/>
                <w:sz w:val="18"/>
              </w:rPr>
              <w:lastRenderedPageBreak/>
              <w:t xml:space="preserve">(Rules only RAs, Operating Procedures only </w:t>
            </w:r>
            <w:proofErr w:type="spellStart"/>
            <w:r w:rsidRPr="009928C1">
              <w:rPr>
                <w:rStyle w:val="IntenseEmphasis"/>
                <w:sz w:val="18"/>
              </w:rPr>
              <w:t>SEMOpx</w:t>
            </w:r>
            <w:proofErr w:type="spellEnd"/>
            <w:r w:rsidRPr="009928C1">
              <w:rPr>
                <w:rStyle w:val="IntenseEmphasis"/>
                <w:sz w:val="18"/>
              </w:rPr>
              <w:t>)</w:t>
            </w:r>
          </w:p>
        </w:tc>
      </w:tr>
      <w:tr w:rsidR="00672AA5" w:rsidRPr="009928C1" w:rsidTr="00672AA5">
        <w:tc>
          <w:tcPr>
            <w:tcW w:w="2988" w:type="dxa"/>
          </w:tcPr>
          <w:p w:rsidR="00672AA5" w:rsidRDefault="00672AA5" w:rsidP="00F82BD3">
            <w:pPr>
              <w:jc w:val="both"/>
            </w:pPr>
          </w:p>
          <w:p w:rsidR="00672AA5" w:rsidRPr="009928C1" w:rsidRDefault="00042A32" w:rsidP="00F82BD3">
            <w:pPr>
              <w:jc w:val="both"/>
            </w:pPr>
            <w:r>
              <w:t xml:space="preserve">All responses received are include in document </w:t>
            </w:r>
            <w:hyperlink r:id="rId12" w:history="1">
              <w:r w:rsidRPr="002D1F30">
                <w:rPr>
                  <w:rStyle w:val="Hyperlink"/>
                </w:rPr>
                <w:t>MCF_</w:t>
              </w:r>
              <w:r w:rsidR="002336C4" w:rsidRPr="002D1F30">
                <w:rPr>
                  <w:rStyle w:val="Hyperlink"/>
                </w:rPr>
                <w:t>06</w:t>
              </w:r>
              <w:r w:rsidRPr="002D1F30">
                <w:rPr>
                  <w:rStyle w:val="Hyperlink"/>
                </w:rPr>
                <w:t>_</w:t>
              </w:r>
              <w:r w:rsidR="002336C4" w:rsidRPr="002D1F30">
                <w:rPr>
                  <w:rStyle w:val="Hyperlink"/>
                </w:rPr>
                <w:t>18 Comments and Responses</w:t>
              </w:r>
            </w:hyperlink>
            <w:r>
              <w:t xml:space="preserve"> </w:t>
            </w:r>
          </w:p>
          <w:p w:rsidR="00672AA5" w:rsidRPr="009928C1" w:rsidRDefault="00672AA5" w:rsidP="00F82BD3">
            <w:pPr>
              <w:jc w:val="both"/>
            </w:pPr>
          </w:p>
        </w:tc>
        <w:tc>
          <w:tcPr>
            <w:tcW w:w="4050" w:type="dxa"/>
            <w:gridSpan w:val="2"/>
          </w:tcPr>
          <w:p w:rsidR="006829D6" w:rsidRPr="00042A32" w:rsidRDefault="00BF4B76" w:rsidP="00042A32">
            <w:pPr>
              <w:numPr>
                <w:ilvl w:val="0"/>
                <w:numId w:val="1"/>
              </w:numPr>
            </w:pPr>
            <w:r w:rsidRPr="00042A32">
              <w:rPr>
                <w:lang w:val="en-US"/>
              </w:rPr>
              <w:t>Linking the liability caps to charges is reasonable in a service arrangement</w:t>
            </w:r>
          </w:p>
          <w:p w:rsidR="006829D6" w:rsidRPr="00042A32" w:rsidRDefault="00BF4B76" w:rsidP="00042A32">
            <w:pPr>
              <w:numPr>
                <w:ilvl w:val="0"/>
                <w:numId w:val="1"/>
              </w:numPr>
            </w:pPr>
            <w:r w:rsidRPr="00042A32">
              <w:rPr>
                <w:lang w:val="en-US"/>
              </w:rPr>
              <w:t xml:space="preserve">Charges to include all fees and charges payable under the </w:t>
            </w:r>
            <w:proofErr w:type="spellStart"/>
            <w:r w:rsidRPr="00042A32">
              <w:rPr>
                <w:lang w:val="en-US"/>
              </w:rPr>
              <w:t>SEMOpx</w:t>
            </w:r>
            <w:proofErr w:type="spellEnd"/>
            <w:r w:rsidRPr="00042A32">
              <w:rPr>
                <w:lang w:val="en-US"/>
              </w:rPr>
              <w:t xml:space="preserve"> Statement of Charges, except Accession Fee(s)</w:t>
            </w:r>
          </w:p>
          <w:p w:rsidR="006829D6" w:rsidRPr="00042A32" w:rsidRDefault="00BF4B76" w:rsidP="00042A32">
            <w:pPr>
              <w:numPr>
                <w:ilvl w:val="0"/>
                <w:numId w:val="1"/>
              </w:numPr>
            </w:pPr>
            <w:r w:rsidRPr="00042A32">
              <w:t xml:space="preserve">Liability cap to operate on a per incident basis and with an annual limit </w:t>
            </w:r>
          </w:p>
          <w:p w:rsidR="006829D6" w:rsidRPr="00042A32" w:rsidRDefault="00BF4B76" w:rsidP="00042A32">
            <w:pPr>
              <w:numPr>
                <w:ilvl w:val="0"/>
                <w:numId w:val="1"/>
              </w:numPr>
            </w:pPr>
            <w:r w:rsidRPr="00042A32">
              <w:t>Liability cap to be increased from “20 days” to “40 days” of charges per Operational Incident</w:t>
            </w:r>
          </w:p>
          <w:p w:rsidR="006829D6" w:rsidRPr="00042A32" w:rsidRDefault="00BF4B76" w:rsidP="00042A32">
            <w:pPr>
              <w:numPr>
                <w:ilvl w:val="0"/>
                <w:numId w:val="1"/>
              </w:numPr>
            </w:pPr>
            <w:r w:rsidRPr="00042A32">
              <w:t>“Operational Incident” to be defined</w:t>
            </w:r>
          </w:p>
          <w:p w:rsidR="006829D6" w:rsidRPr="00042A32" w:rsidRDefault="00BF4B76" w:rsidP="00042A32">
            <w:pPr>
              <w:numPr>
                <w:ilvl w:val="0"/>
                <w:numId w:val="1"/>
              </w:numPr>
            </w:pPr>
            <w:r w:rsidRPr="00042A32">
              <w:rPr>
                <w:lang w:val="en-US"/>
              </w:rPr>
              <w:t>Level of cap is reasonable given:</w:t>
            </w:r>
          </w:p>
          <w:p w:rsidR="006829D6" w:rsidRPr="00042A32" w:rsidRDefault="00BF4B76" w:rsidP="00042A32">
            <w:pPr>
              <w:numPr>
                <w:ilvl w:val="1"/>
                <w:numId w:val="1"/>
              </w:numPr>
            </w:pPr>
            <w:r w:rsidRPr="00042A32">
              <w:rPr>
                <w:lang w:val="en-US"/>
              </w:rPr>
              <w:t xml:space="preserve">Size of the SEM </w:t>
            </w:r>
          </w:p>
          <w:p w:rsidR="006829D6" w:rsidRPr="00042A32" w:rsidRDefault="00BF4B76" w:rsidP="00042A32">
            <w:pPr>
              <w:numPr>
                <w:ilvl w:val="1"/>
                <w:numId w:val="1"/>
              </w:numPr>
            </w:pPr>
            <w:r w:rsidRPr="00042A32">
              <w:rPr>
                <w:lang w:val="en-US"/>
              </w:rPr>
              <w:t xml:space="preserve">Level and regulatory framework for fees </w:t>
            </w:r>
          </w:p>
          <w:p w:rsidR="006829D6" w:rsidRPr="00042A32" w:rsidRDefault="00BF4B76" w:rsidP="00042A32">
            <w:pPr>
              <w:numPr>
                <w:ilvl w:val="1"/>
                <w:numId w:val="1"/>
              </w:numPr>
            </w:pPr>
            <w:r w:rsidRPr="00042A32">
              <w:rPr>
                <w:lang w:val="en-US"/>
              </w:rPr>
              <w:t>Industry practice</w:t>
            </w:r>
          </w:p>
          <w:p w:rsidR="00672AA5" w:rsidRPr="009928C1" w:rsidRDefault="00672AA5" w:rsidP="002F2DD7"/>
        </w:tc>
        <w:tc>
          <w:tcPr>
            <w:tcW w:w="2160" w:type="dxa"/>
          </w:tcPr>
          <w:p w:rsidR="00672AA5" w:rsidRPr="009928C1" w:rsidRDefault="00672AA5" w:rsidP="00F82BD3">
            <w:pPr>
              <w:jc w:val="both"/>
            </w:pPr>
          </w:p>
        </w:tc>
      </w:tr>
    </w:tbl>
    <w:p w:rsidR="00421C78" w:rsidRDefault="00421C78"/>
    <w:p w:rsidR="00421C78" w:rsidRPr="00421C78" w:rsidRDefault="00421C78" w:rsidP="00421C78"/>
    <w:p w:rsidR="00421C78" w:rsidRDefault="00421C78" w:rsidP="00421C78"/>
    <w:p w:rsidR="00F56F7F" w:rsidRPr="00421C78" w:rsidRDefault="00421C78" w:rsidP="00421C78">
      <w:pPr>
        <w:tabs>
          <w:tab w:val="left" w:pos="3029"/>
        </w:tabs>
      </w:pPr>
      <w:r>
        <w:tab/>
      </w:r>
    </w:p>
    <w:sectPr w:rsidR="00F56F7F" w:rsidRPr="00421C7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A3B" w:rsidRDefault="00177A3B" w:rsidP="002B0D79">
      <w:pPr>
        <w:spacing w:after="0" w:line="240" w:lineRule="auto"/>
      </w:pPr>
      <w:r>
        <w:separator/>
      </w:r>
    </w:p>
  </w:endnote>
  <w:endnote w:type="continuationSeparator" w:id="0">
    <w:p w:rsidR="00177A3B" w:rsidRDefault="00177A3B" w:rsidP="002B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79" w:rsidRPr="0040705E" w:rsidRDefault="002B0D79" w:rsidP="002B0D79">
    <w:pPr>
      <w:pStyle w:val="Footer"/>
      <w:pBdr>
        <w:top w:val="single" w:sz="6" w:space="1" w:color="auto"/>
      </w:pBdr>
      <w:tabs>
        <w:tab w:val="center" w:pos="4536"/>
        <w:tab w:val="right" w:pos="9072"/>
      </w:tabs>
      <w:rPr>
        <w:rFonts w:ascii="Arial" w:hAnsi="Arial" w:cs="Arial"/>
        <w:sz w:val="20"/>
      </w:rPr>
    </w:pPr>
    <w:r w:rsidRPr="0040705E">
      <w:rPr>
        <w:rFonts w:ascii="Arial" w:hAnsi="Arial" w:cs="Arial"/>
        <w:sz w:val="20"/>
      </w:rPr>
      <w:t>© EirGrid</w:t>
    </w:r>
    <w:r>
      <w:rPr>
        <w:rFonts w:ascii="Arial" w:hAnsi="Arial" w:cs="Arial"/>
        <w:sz w:val="20"/>
      </w:rPr>
      <w:t xml:space="preserve"> 2018</w:t>
    </w:r>
    <w:r w:rsidRPr="0040705E">
      <w:rPr>
        <w:rFonts w:ascii="Arial" w:hAnsi="Arial" w:cs="Arial"/>
        <w:sz w:val="20"/>
      </w:rPr>
      <w:t>. Commercial In Confidence.</w:t>
    </w:r>
    <w:r>
      <w:rPr>
        <w:rFonts w:ascii="Arial" w:hAnsi="Arial" w:cs="Arial"/>
        <w:sz w:val="20"/>
      </w:rPr>
      <w:tab/>
      <w:t xml:space="preserve">           </w:t>
    </w:r>
    <w:r w:rsidRPr="0040705E">
      <w:rPr>
        <w:rFonts w:ascii="Arial" w:hAnsi="Arial" w:cs="Arial"/>
        <w:sz w:val="20"/>
      </w:rPr>
      <w:tab/>
      <w:t xml:space="preserve">Page </w:t>
    </w:r>
    <w:r w:rsidRPr="0040705E">
      <w:rPr>
        <w:rFonts w:ascii="Arial" w:hAnsi="Arial" w:cs="Arial"/>
        <w:sz w:val="20"/>
      </w:rPr>
      <w:fldChar w:fldCharType="begin"/>
    </w:r>
    <w:r w:rsidRPr="0040705E">
      <w:rPr>
        <w:rFonts w:ascii="Arial" w:hAnsi="Arial" w:cs="Arial"/>
        <w:sz w:val="20"/>
      </w:rPr>
      <w:instrText xml:space="preserve"> PAGE </w:instrText>
    </w:r>
    <w:r w:rsidRPr="0040705E">
      <w:rPr>
        <w:rFonts w:ascii="Arial" w:hAnsi="Arial" w:cs="Arial"/>
        <w:sz w:val="20"/>
      </w:rPr>
      <w:fldChar w:fldCharType="separate"/>
    </w:r>
    <w:r w:rsidR="008A16E4">
      <w:rPr>
        <w:rFonts w:ascii="Arial" w:hAnsi="Arial" w:cs="Arial"/>
        <w:noProof/>
        <w:sz w:val="20"/>
      </w:rPr>
      <w:t>1</w:t>
    </w:r>
    <w:r w:rsidRPr="0040705E">
      <w:rPr>
        <w:rFonts w:ascii="Arial" w:hAnsi="Arial" w:cs="Arial"/>
        <w:sz w:val="20"/>
      </w:rPr>
      <w:fldChar w:fldCharType="end"/>
    </w:r>
  </w:p>
  <w:p w:rsidR="002B0D79" w:rsidRDefault="002B0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A3B" w:rsidRDefault="00177A3B" w:rsidP="002B0D79">
      <w:pPr>
        <w:spacing w:after="0" w:line="240" w:lineRule="auto"/>
      </w:pPr>
      <w:r>
        <w:separator/>
      </w:r>
    </w:p>
  </w:footnote>
  <w:footnote w:type="continuationSeparator" w:id="0">
    <w:p w:rsidR="00177A3B" w:rsidRDefault="00177A3B" w:rsidP="002B0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D79" w:rsidRPr="002B0D79" w:rsidRDefault="002B0D79">
    <w:pPr>
      <w:pStyle w:val="Header"/>
      <w:rPr>
        <w:rFonts w:ascii="Arial" w:eastAsia="Times New Roman" w:hAnsi="Arial" w:cs="Arial"/>
        <w:b/>
        <w:i/>
        <w:sz w:val="24"/>
        <w:szCs w:val="24"/>
        <w:lang w:val="en-GB" w:eastAsia="en-GB"/>
      </w:rPr>
    </w:pPr>
    <w:proofErr w:type="spellStart"/>
    <w:r w:rsidRPr="002B0D79">
      <w:rPr>
        <w:rFonts w:ascii="Arial" w:eastAsia="Times New Roman" w:hAnsi="Arial" w:cs="Arial"/>
        <w:b/>
        <w:i/>
        <w:sz w:val="24"/>
        <w:szCs w:val="24"/>
        <w:lang w:val="en-GB" w:eastAsia="en-GB"/>
      </w:rPr>
      <w:t>SEMOpx</w:t>
    </w:r>
    <w:proofErr w:type="spellEnd"/>
    <w:r w:rsidRPr="002B0D79">
      <w:rPr>
        <w:rFonts w:ascii="Arial" w:eastAsia="Times New Roman" w:hAnsi="Arial" w:cs="Arial"/>
        <w:b/>
        <w:i/>
        <w:sz w:val="24"/>
        <w:szCs w:val="24"/>
        <w:lang w:val="en-GB" w:eastAsia="en-GB"/>
      </w:rPr>
      <w:t xml:space="preserve"> Interim Change Form</w:t>
    </w:r>
  </w:p>
  <w:p w:rsidR="002B0D79" w:rsidRDefault="002B0D79" w:rsidP="002B0D79">
    <w:pPr>
      <w:pStyle w:val="Header"/>
      <w:tabs>
        <w:tab w:val="clear" w:pos="4680"/>
        <w:tab w:val="clear" w:pos="9360"/>
        <w:tab w:val="left" w:pos="3709"/>
      </w:tabs>
    </w:pPr>
    <w:r>
      <w:tab/>
    </w:r>
    <w:r>
      <w:rPr>
        <w:rFonts w:ascii="Cambria" w:hAnsi="Cambria"/>
        <w:noProof/>
        <w:lang w:val="en-US"/>
      </w:rPr>
      <w:drawing>
        <wp:anchor distT="0" distB="0" distL="114300" distR="114300" simplePos="0" relativeHeight="251657216" behindDoc="1" locked="0" layoutInCell="1" allowOverlap="1" wp14:anchorId="146FF9E8" wp14:editId="26D2F095">
          <wp:simplePos x="0" y="0"/>
          <wp:positionH relativeFrom="column">
            <wp:posOffset>3949065</wp:posOffset>
          </wp:positionH>
          <wp:positionV relativeFrom="paragraph">
            <wp:posOffset>-234950</wp:posOffset>
          </wp:positionV>
          <wp:extent cx="2377440" cy="448310"/>
          <wp:effectExtent l="0" t="0" r="381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448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567EA"/>
    <w:multiLevelType w:val="hybridMultilevel"/>
    <w:tmpl w:val="B3DEEFAE"/>
    <w:lvl w:ilvl="0" w:tplc="A0A67BE4">
      <w:start w:val="1"/>
      <w:numFmt w:val="bullet"/>
      <w:lvlText w:val="•"/>
      <w:lvlJc w:val="left"/>
      <w:pPr>
        <w:tabs>
          <w:tab w:val="num" w:pos="720"/>
        </w:tabs>
        <w:ind w:left="720" w:hanging="360"/>
      </w:pPr>
      <w:rPr>
        <w:rFonts w:ascii="Arial" w:hAnsi="Arial" w:hint="default"/>
      </w:rPr>
    </w:lvl>
    <w:lvl w:ilvl="1" w:tplc="4C8AB98A" w:tentative="1">
      <w:start w:val="1"/>
      <w:numFmt w:val="bullet"/>
      <w:lvlText w:val="•"/>
      <w:lvlJc w:val="left"/>
      <w:pPr>
        <w:tabs>
          <w:tab w:val="num" w:pos="1440"/>
        </w:tabs>
        <w:ind w:left="1440" w:hanging="360"/>
      </w:pPr>
      <w:rPr>
        <w:rFonts w:ascii="Arial" w:hAnsi="Arial" w:hint="default"/>
      </w:rPr>
    </w:lvl>
    <w:lvl w:ilvl="2" w:tplc="738890D2" w:tentative="1">
      <w:start w:val="1"/>
      <w:numFmt w:val="bullet"/>
      <w:lvlText w:val="•"/>
      <w:lvlJc w:val="left"/>
      <w:pPr>
        <w:tabs>
          <w:tab w:val="num" w:pos="2160"/>
        </w:tabs>
        <w:ind w:left="2160" w:hanging="360"/>
      </w:pPr>
      <w:rPr>
        <w:rFonts w:ascii="Arial" w:hAnsi="Arial" w:hint="default"/>
      </w:rPr>
    </w:lvl>
    <w:lvl w:ilvl="3" w:tplc="6248E396" w:tentative="1">
      <w:start w:val="1"/>
      <w:numFmt w:val="bullet"/>
      <w:lvlText w:val="•"/>
      <w:lvlJc w:val="left"/>
      <w:pPr>
        <w:tabs>
          <w:tab w:val="num" w:pos="2880"/>
        </w:tabs>
        <w:ind w:left="2880" w:hanging="360"/>
      </w:pPr>
      <w:rPr>
        <w:rFonts w:ascii="Arial" w:hAnsi="Arial" w:hint="default"/>
      </w:rPr>
    </w:lvl>
    <w:lvl w:ilvl="4" w:tplc="753C2228" w:tentative="1">
      <w:start w:val="1"/>
      <w:numFmt w:val="bullet"/>
      <w:lvlText w:val="•"/>
      <w:lvlJc w:val="left"/>
      <w:pPr>
        <w:tabs>
          <w:tab w:val="num" w:pos="3600"/>
        </w:tabs>
        <w:ind w:left="3600" w:hanging="360"/>
      </w:pPr>
      <w:rPr>
        <w:rFonts w:ascii="Arial" w:hAnsi="Arial" w:hint="default"/>
      </w:rPr>
    </w:lvl>
    <w:lvl w:ilvl="5" w:tplc="BBC86E82" w:tentative="1">
      <w:start w:val="1"/>
      <w:numFmt w:val="bullet"/>
      <w:lvlText w:val="•"/>
      <w:lvlJc w:val="left"/>
      <w:pPr>
        <w:tabs>
          <w:tab w:val="num" w:pos="4320"/>
        </w:tabs>
        <w:ind w:left="4320" w:hanging="360"/>
      </w:pPr>
      <w:rPr>
        <w:rFonts w:ascii="Arial" w:hAnsi="Arial" w:hint="default"/>
      </w:rPr>
    </w:lvl>
    <w:lvl w:ilvl="6" w:tplc="124C4F5A" w:tentative="1">
      <w:start w:val="1"/>
      <w:numFmt w:val="bullet"/>
      <w:lvlText w:val="•"/>
      <w:lvlJc w:val="left"/>
      <w:pPr>
        <w:tabs>
          <w:tab w:val="num" w:pos="5040"/>
        </w:tabs>
        <w:ind w:left="5040" w:hanging="360"/>
      </w:pPr>
      <w:rPr>
        <w:rFonts w:ascii="Arial" w:hAnsi="Arial" w:hint="default"/>
      </w:rPr>
    </w:lvl>
    <w:lvl w:ilvl="7" w:tplc="C02E348C" w:tentative="1">
      <w:start w:val="1"/>
      <w:numFmt w:val="bullet"/>
      <w:lvlText w:val="•"/>
      <w:lvlJc w:val="left"/>
      <w:pPr>
        <w:tabs>
          <w:tab w:val="num" w:pos="5760"/>
        </w:tabs>
        <w:ind w:left="5760" w:hanging="360"/>
      </w:pPr>
      <w:rPr>
        <w:rFonts w:ascii="Arial" w:hAnsi="Arial" w:hint="default"/>
      </w:rPr>
    </w:lvl>
    <w:lvl w:ilvl="8" w:tplc="6F707B9E" w:tentative="1">
      <w:start w:val="1"/>
      <w:numFmt w:val="bullet"/>
      <w:lvlText w:val="•"/>
      <w:lvlJc w:val="left"/>
      <w:pPr>
        <w:tabs>
          <w:tab w:val="num" w:pos="6480"/>
        </w:tabs>
        <w:ind w:left="6480" w:hanging="360"/>
      </w:pPr>
      <w:rPr>
        <w:rFonts w:ascii="Arial" w:hAnsi="Arial" w:hint="default"/>
      </w:rPr>
    </w:lvl>
  </w:abstractNum>
  <w:abstractNum w:abstractNumId="1">
    <w:nsid w:val="5D875951"/>
    <w:multiLevelType w:val="hybridMultilevel"/>
    <w:tmpl w:val="8918DC4E"/>
    <w:lvl w:ilvl="0" w:tplc="2AF8F58E">
      <w:start w:val="1"/>
      <w:numFmt w:val="bullet"/>
      <w:lvlText w:val="•"/>
      <w:lvlJc w:val="left"/>
      <w:pPr>
        <w:tabs>
          <w:tab w:val="num" w:pos="720"/>
        </w:tabs>
        <w:ind w:left="720" w:hanging="360"/>
      </w:pPr>
      <w:rPr>
        <w:rFonts w:ascii="Arial" w:hAnsi="Arial" w:hint="default"/>
      </w:rPr>
    </w:lvl>
    <w:lvl w:ilvl="1" w:tplc="FC027C0A">
      <w:start w:val="664"/>
      <w:numFmt w:val="bullet"/>
      <w:lvlText w:val="–"/>
      <w:lvlJc w:val="left"/>
      <w:pPr>
        <w:tabs>
          <w:tab w:val="num" w:pos="1440"/>
        </w:tabs>
        <w:ind w:left="1440" w:hanging="360"/>
      </w:pPr>
      <w:rPr>
        <w:rFonts w:ascii="Arial" w:hAnsi="Arial" w:hint="default"/>
      </w:rPr>
    </w:lvl>
    <w:lvl w:ilvl="2" w:tplc="155E2A1A" w:tentative="1">
      <w:start w:val="1"/>
      <w:numFmt w:val="bullet"/>
      <w:lvlText w:val="•"/>
      <w:lvlJc w:val="left"/>
      <w:pPr>
        <w:tabs>
          <w:tab w:val="num" w:pos="2160"/>
        </w:tabs>
        <w:ind w:left="2160" w:hanging="360"/>
      </w:pPr>
      <w:rPr>
        <w:rFonts w:ascii="Arial" w:hAnsi="Arial" w:hint="default"/>
      </w:rPr>
    </w:lvl>
    <w:lvl w:ilvl="3" w:tplc="9452B548" w:tentative="1">
      <w:start w:val="1"/>
      <w:numFmt w:val="bullet"/>
      <w:lvlText w:val="•"/>
      <w:lvlJc w:val="left"/>
      <w:pPr>
        <w:tabs>
          <w:tab w:val="num" w:pos="2880"/>
        </w:tabs>
        <w:ind w:left="2880" w:hanging="360"/>
      </w:pPr>
      <w:rPr>
        <w:rFonts w:ascii="Arial" w:hAnsi="Arial" w:hint="default"/>
      </w:rPr>
    </w:lvl>
    <w:lvl w:ilvl="4" w:tplc="1654DC1C" w:tentative="1">
      <w:start w:val="1"/>
      <w:numFmt w:val="bullet"/>
      <w:lvlText w:val="•"/>
      <w:lvlJc w:val="left"/>
      <w:pPr>
        <w:tabs>
          <w:tab w:val="num" w:pos="3600"/>
        </w:tabs>
        <w:ind w:left="3600" w:hanging="360"/>
      </w:pPr>
      <w:rPr>
        <w:rFonts w:ascii="Arial" w:hAnsi="Arial" w:hint="default"/>
      </w:rPr>
    </w:lvl>
    <w:lvl w:ilvl="5" w:tplc="CF7ECE3C" w:tentative="1">
      <w:start w:val="1"/>
      <w:numFmt w:val="bullet"/>
      <w:lvlText w:val="•"/>
      <w:lvlJc w:val="left"/>
      <w:pPr>
        <w:tabs>
          <w:tab w:val="num" w:pos="4320"/>
        </w:tabs>
        <w:ind w:left="4320" w:hanging="360"/>
      </w:pPr>
      <w:rPr>
        <w:rFonts w:ascii="Arial" w:hAnsi="Arial" w:hint="default"/>
      </w:rPr>
    </w:lvl>
    <w:lvl w:ilvl="6" w:tplc="90EACC10" w:tentative="1">
      <w:start w:val="1"/>
      <w:numFmt w:val="bullet"/>
      <w:lvlText w:val="•"/>
      <w:lvlJc w:val="left"/>
      <w:pPr>
        <w:tabs>
          <w:tab w:val="num" w:pos="5040"/>
        </w:tabs>
        <w:ind w:left="5040" w:hanging="360"/>
      </w:pPr>
      <w:rPr>
        <w:rFonts w:ascii="Arial" w:hAnsi="Arial" w:hint="default"/>
      </w:rPr>
    </w:lvl>
    <w:lvl w:ilvl="7" w:tplc="22FA130E" w:tentative="1">
      <w:start w:val="1"/>
      <w:numFmt w:val="bullet"/>
      <w:lvlText w:val="•"/>
      <w:lvlJc w:val="left"/>
      <w:pPr>
        <w:tabs>
          <w:tab w:val="num" w:pos="5760"/>
        </w:tabs>
        <w:ind w:left="5760" w:hanging="360"/>
      </w:pPr>
      <w:rPr>
        <w:rFonts w:ascii="Arial" w:hAnsi="Arial" w:hint="default"/>
      </w:rPr>
    </w:lvl>
    <w:lvl w:ilvl="8" w:tplc="69FAF68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A5"/>
    <w:rsid w:val="0001771F"/>
    <w:rsid w:val="00042A32"/>
    <w:rsid w:val="000A6C2E"/>
    <w:rsid w:val="001358C0"/>
    <w:rsid w:val="00161B68"/>
    <w:rsid w:val="00177A3B"/>
    <w:rsid w:val="001E1D84"/>
    <w:rsid w:val="001E3BF1"/>
    <w:rsid w:val="001E6283"/>
    <w:rsid w:val="002336C4"/>
    <w:rsid w:val="002A324F"/>
    <w:rsid w:val="002A3760"/>
    <w:rsid w:val="002B0D79"/>
    <w:rsid w:val="002D1F30"/>
    <w:rsid w:val="002F2DD7"/>
    <w:rsid w:val="003274E6"/>
    <w:rsid w:val="0033194B"/>
    <w:rsid w:val="00415BA8"/>
    <w:rsid w:val="00421C78"/>
    <w:rsid w:val="004311B3"/>
    <w:rsid w:val="00474185"/>
    <w:rsid w:val="0049484F"/>
    <w:rsid w:val="004974E8"/>
    <w:rsid w:val="005C2B14"/>
    <w:rsid w:val="0060334A"/>
    <w:rsid w:val="00672AA5"/>
    <w:rsid w:val="006829D6"/>
    <w:rsid w:val="00716873"/>
    <w:rsid w:val="007A2022"/>
    <w:rsid w:val="008A16E4"/>
    <w:rsid w:val="009912BA"/>
    <w:rsid w:val="00A41809"/>
    <w:rsid w:val="00AF1438"/>
    <w:rsid w:val="00BF4B76"/>
    <w:rsid w:val="00DA2C0B"/>
    <w:rsid w:val="00F23C27"/>
    <w:rsid w:val="00F70BF7"/>
    <w:rsid w:val="00FB72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72AA5"/>
    <w:rPr>
      <w:b/>
      <w:bCs/>
      <w:i/>
      <w:iCs/>
      <w:color w:val="4F81BD" w:themeColor="accent1"/>
    </w:rPr>
  </w:style>
  <w:style w:type="paragraph" w:styleId="Header">
    <w:name w:val="header"/>
    <w:basedOn w:val="Normal"/>
    <w:link w:val="HeaderChar"/>
    <w:uiPriority w:val="99"/>
    <w:unhideWhenUsed/>
    <w:rsid w:val="002B0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D79"/>
  </w:style>
  <w:style w:type="paragraph" w:styleId="Footer">
    <w:name w:val="footer"/>
    <w:basedOn w:val="Normal"/>
    <w:link w:val="FooterChar"/>
    <w:uiPriority w:val="99"/>
    <w:unhideWhenUsed/>
    <w:rsid w:val="002B0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D79"/>
  </w:style>
  <w:style w:type="paragraph" w:styleId="BalloonText">
    <w:name w:val="Balloon Text"/>
    <w:basedOn w:val="Normal"/>
    <w:link w:val="BalloonTextChar"/>
    <w:uiPriority w:val="99"/>
    <w:semiHidden/>
    <w:unhideWhenUsed/>
    <w:rsid w:val="002B0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D79"/>
    <w:rPr>
      <w:rFonts w:ascii="Tahoma" w:hAnsi="Tahoma" w:cs="Tahoma"/>
      <w:sz w:val="16"/>
      <w:szCs w:val="16"/>
    </w:rPr>
  </w:style>
  <w:style w:type="character" w:styleId="Hyperlink">
    <w:name w:val="Hyperlink"/>
    <w:basedOn w:val="DefaultParagraphFont"/>
    <w:uiPriority w:val="99"/>
    <w:unhideWhenUsed/>
    <w:rsid w:val="001358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72AA5"/>
    <w:rPr>
      <w:b/>
      <w:bCs/>
      <w:i/>
      <w:iCs/>
      <w:color w:val="4F81BD" w:themeColor="accent1"/>
    </w:rPr>
  </w:style>
  <w:style w:type="paragraph" w:styleId="Header">
    <w:name w:val="header"/>
    <w:basedOn w:val="Normal"/>
    <w:link w:val="HeaderChar"/>
    <w:uiPriority w:val="99"/>
    <w:unhideWhenUsed/>
    <w:rsid w:val="002B0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D79"/>
  </w:style>
  <w:style w:type="paragraph" w:styleId="Footer">
    <w:name w:val="footer"/>
    <w:basedOn w:val="Normal"/>
    <w:link w:val="FooterChar"/>
    <w:uiPriority w:val="99"/>
    <w:unhideWhenUsed/>
    <w:rsid w:val="002B0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D79"/>
  </w:style>
  <w:style w:type="paragraph" w:styleId="BalloonText">
    <w:name w:val="Balloon Text"/>
    <w:basedOn w:val="Normal"/>
    <w:link w:val="BalloonTextChar"/>
    <w:uiPriority w:val="99"/>
    <w:semiHidden/>
    <w:unhideWhenUsed/>
    <w:rsid w:val="002B0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D79"/>
    <w:rPr>
      <w:rFonts w:ascii="Tahoma" w:hAnsi="Tahoma" w:cs="Tahoma"/>
      <w:sz w:val="16"/>
      <w:szCs w:val="16"/>
    </w:rPr>
  </w:style>
  <w:style w:type="character" w:styleId="Hyperlink">
    <w:name w:val="Hyperlink"/>
    <w:basedOn w:val="DefaultParagraphFont"/>
    <w:uiPriority w:val="99"/>
    <w:unhideWhenUsed/>
    <w:rsid w:val="001358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032243">
      <w:bodyDiv w:val="1"/>
      <w:marLeft w:val="0"/>
      <w:marRight w:val="0"/>
      <w:marTop w:val="0"/>
      <w:marBottom w:val="0"/>
      <w:divBdr>
        <w:top w:val="none" w:sz="0" w:space="0" w:color="auto"/>
        <w:left w:val="none" w:sz="0" w:space="0" w:color="auto"/>
        <w:bottom w:val="none" w:sz="0" w:space="0" w:color="auto"/>
        <w:right w:val="none" w:sz="0" w:space="0" w:color="auto"/>
      </w:divBdr>
      <w:divsChild>
        <w:div w:id="1240366524">
          <w:marLeft w:val="547"/>
          <w:marRight w:val="0"/>
          <w:marTop w:val="72"/>
          <w:marBottom w:val="0"/>
          <w:divBdr>
            <w:top w:val="none" w:sz="0" w:space="0" w:color="auto"/>
            <w:left w:val="none" w:sz="0" w:space="0" w:color="auto"/>
            <w:bottom w:val="none" w:sz="0" w:space="0" w:color="auto"/>
            <w:right w:val="none" w:sz="0" w:space="0" w:color="auto"/>
          </w:divBdr>
        </w:div>
        <w:div w:id="1807426236">
          <w:marLeft w:val="547"/>
          <w:marRight w:val="0"/>
          <w:marTop w:val="72"/>
          <w:marBottom w:val="0"/>
          <w:divBdr>
            <w:top w:val="none" w:sz="0" w:space="0" w:color="auto"/>
            <w:left w:val="none" w:sz="0" w:space="0" w:color="auto"/>
            <w:bottom w:val="none" w:sz="0" w:space="0" w:color="auto"/>
            <w:right w:val="none" w:sz="0" w:space="0" w:color="auto"/>
          </w:divBdr>
        </w:div>
        <w:div w:id="1807963864">
          <w:marLeft w:val="547"/>
          <w:marRight w:val="0"/>
          <w:marTop w:val="72"/>
          <w:marBottom w:val="0"/>
          <w:divBdr>
            <w:top w:val="none" w:sz="0" w:space="0" w:color="auto"/>
            <w:left w:val="none" w:sz="0" w:space="0" w:color="auto"/>
            <w:bottom w:val="none" w:sz="0" w:space="0" w:color="auto"/>
            <w:right w:val="none" w:sz="0" w:space="0" w:color="auto"/>
          </w:divBdr>
        </w:div>
      </w:divsChild>
    </w:div>
    <w:div w:id="1197037358">
      <w:bodyDiv w:val="1"/>
      <w:marLeft w:val="0"/>
      <w:marRight w:val="0"/>
      <w:marTop w:val="0"/>
      <w:marBottom w:val="0"/>
      <w:divBdr>
        <w:top w:val="none" w:sz="0" w:space="0" w:color="auto"/>
        <w:left w:val="none" w:sz="0" w:space="0" w:color="auto"/>
        <w:bottom w:val="none" w:sz="0" w:space="0" w:color="auto"/>
        <w:right w:val="none" w:sz="0" w:space="0" w:color="auto"/>
      </w:divBdr>
      <w:divsChild>
        <w:div w:id="1129741662">
          <w:marLeft w:val="547"/>
          <w:marRight w:val="0"/>
          <w:marTop w:val="82"/>
          <w:marBottom w:val="0"/>
          <w:divBdr>
            <w:top w:val="none" w:sz="0" w:space="0" w:color="auto"/>
            <w:left w:val="none" w:sz="0" w:space="0" w:color="auto"/>
            <w:bottom w:val="none" w:sz="0" w:space="0" w:color="auto"/>
            <w:right w:val="none" w:sz="0" w:space="0" w:color="auto"/>
          </w:divBdr>
        </w:div>
        <w:div w:id="1147893657">
          <w:marLeft w:val="547"/>
          <w:marRight w:val="0"/>
          <w:marTop w:val="82"/>
          <w:marBottom w:val="0"/>
          <w:divBdr>
            <w:top w:val="none" w:sz="0" w:space="0" w:color="auto"/>
            <w:left w:val="none" w:sz="0" w:space="0" w:color="auto"/>
            <w:bottom w:val="none" w:sz="0" w:space="0" w:color="auto"/>
            <w:right w:val="none" w:sz="0" w:space="0" w:color="auto"/>
          </w:divBdr>
        </w:div>
        <w:div w:id="1336036052">
          <w:marLeft w:val="547"/>
          <w:marRight w:val="0"/>
          <w:marTop w:val="82"/>
          <w:marBottom w:val="0"/>
          <w:divBdr>
            <w:top w:val="none" w:sz="0" w:space="0" w:color="auto"/>
            <w:left w:val="none" w:sz="0" w:space="0" w:color="auto"/>
            <w:bottom w:val="none" w:sz="0" w:space="0" w:color="auto"/>
            <w:right w:val="none" w:sz="0" w:space="0" w:color="auto"/>
          </w:divBdr>
        </w:div>
        <w:div w:id="470754898">
          <w:marLeft w:val="547"/>
          <w:marRight w:val="0"/>
          <w:marTop w:val="82"/>
          <w:marBottom w:val="0"/>
          <w:divBdr>
            <w:top w:val="none" w:sz="0" w:space="0" w:color="auto"/>
            <w:left w:val="none" w:sz="0" w:space="0" w:color="auto"/>
            <w:bottom w:val="none" w:sz="0" w:space="0" w:color="auto"/>
            <w:right w:val="none" w:sz="0" w:space="0" w:color="auto"/>
          </w:divBdr>
        </w:div>
        <w:div w:id="271475242">
          <w:marLeft w:val="547"/>
          <w:marRight w:val="0"/>
          <w:marTop w:val="82"/>
          <w:marBottom w:val="0"/>
          <w:divBdr>
            <w:top w:val="none" w:sz="0" w:space="0" w:color="auto"/>
            <w:left w:val="none" w:sz="0" w:space="0" w:color="auto"/>
            <w:bottom w:val="none" w:sz="0" w:space="0" w:color="auto"/>
            <w:right w:val="none" w:sz="0" w:space="0" w:color="auto"/>
          </w:divBdr>
        </w:div>
        <w:div w:id="373426327">
          <w:marLeft w:val="547"/>
          <w:marRight w:val="0"/>
          <w:marTop w:val="82"/>
          <w:marBottom w:val="0"/>
          <w:divBdr>
            <w:top w:val="none" w:sz="0" w:space="0" w:color="auto"/>
            <w:left w:val="none" w:sz="0" w:space="0" w:color="auto"/>
            <w:bottom w:val="none" w:sz="0" w:space="0" w:color="auto"/>
            <w:right w:val="none" w:sz="0" w:space="0" w:color="auto"/>
          </w:divBdr>
        </w:div>
        <w:div w:id="1890460629">
          <w:marLeft w:val="547"/>
          <w:marRight w:val="0"/>
          <w:marTop w:val="82"/>
          <w:marBottom w:val="0"/>
          <w:divBdr>
            <w:top w:val="none" w:sz="0" w:space="0" w:color="auto"/>
            <w:left w:val="none" w:sz="0" w:space="0" w:color="auto"/>
            <w:bottom w:val="none" w:sz="0" w:space="0" w:color="auto"/>
            <w:right w:val="none" w:sz="0" w:space="0" w:color="auto"/>
          </w:divBdr>
        </w:div>
        <w:div w:id="2074156072">
          <w:marLeft w:val="1166"/>
          <w:marRight w:val="0"/>
          <w:marTop w:val="67"/>
          <w:marBottom w:val="0"/>
          <w:divBdr>
            <w:top w:val="none" w:sz="0" w:space="0" w:color="auto"/>
            <w:left w:val="none" w:sz="0" w:space="0" w:color="auto"/>
            <w:bottom w:val="none" w:sz="0" w:space="0" w:color="auto"/>
            <w:right w:val="none" w:sz="0" w:space="0" w:color="auto"/>
          </w:divBdr>
        </w:div>
        <w:div w:id="321399803">
          <w:marLeft w:val="1166"/>
          <w:marRight w:val="0"/>
          <w:marTop w:val="67"/>
          <w:marBottom w:val="0"/>
          <w:divBdr>
            <w:top w:val="none" w:sz="0" w:space="0" w:color="auto"/>
            <w:left w:val="none" w:sz="0" w:space="0" w:color="auto"/>
            <w:bottom w:val="none" w:sz="0" w:space="0" w:color="auto"/>
            <w:right w:val="none" w:sz="0" w:space="0" w:color="auto"/>
          </w:divBdr>
        </w:div>
        <w:div w:id="181424804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em-o.com/ISEM/General/MCF_06_18%20Comments%20and%20Responses.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archivestatus xmlns="555a66dc-fdf2-47ca-80f5-c077f14f4733">Active</documentarchivestatus>
    <DocumentType xmlns="4bc3c8ef-aed1-4c8f-b23a-ec3bd32f80ef">Materials</DocumentType>
    <Category xmlns="e5017db1-904e-42a8-a0f6-d98fa826bf6c">Business Liaison Group</Category>
    <Subcategory xmlns="e5017db1-904e-42a8-a0f6-d98fa826bf6c">NEMO</Sub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usiness Liaison Group" ma:contentTypeID="0x010100265BBC7FA3C9DF40A8B33B7539D53B1D180094F09FCE77E2444F8EC2524B13D1C638" ma:contentTypeVersion="5" ma:contentTypeDescription="" ma:contentTypeScope="" ma:versionID="17b2b1db08f056ef0358a40add3ea1fe">
  <xsd:schema xmlns:xsd="http://www.w3.org/2001/XMLSchema" xmlns:p="http://schemas.microsoft.com/office/2006/metadata/properties" xmlns:ns3="555a66dc-fdf2-47ca-80f5-c077f14f4733" xmlns:ns4="4bc3c8ef-aed1-4c8f-b23a-ec3bd32f80ef" xmlns:ns5="e5017db1-904e-42a8-a0f6-d98fa826bf6c" targetNamespace="http://schemas.microsoft.com/office/2006/metadata/properties" ma:root="true" ma:fieldsID="d99d5033956c130624f94f632cf2da24" ns3:_="" ns4:_="" ns5:_="">
    <xsd:import namespace="555a66dc-fdf2-47ca-80f5-c077f14f4733"/>
    <xsd:import namespace="4bc3c8ef-aed1-4c8f-b23a-ec3bd32f80ef"/>
    <xsd:import namespace="e5017db1-904e-42a8-a0f6-d98fa826bf6c"/>
    <xsd:element name="properties">
      <xsd:complexType>
        <xsd:sequence>
          <xsd:element name="documentManagement">
            <xsd:complexType>
              <xsd:all>
                <xsd:element ref="ns3:documentarchivestatus" minOccurs="0"/>
                <xsd:element ref="ns4:DocumentType" minOccurs="0"/>
                <xsd:element ref="ns5:Category" minOccurs="0"/>
                <xsd:element ref="ns5:Subcategory"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hidden="true" ma:internalName="documentarchivestatus" ma:readOnly="false">
      <xsd:simpleType>
        <xsd:restriction base="dms:Choice">
          <xsd:enumeration value="Active"/>
          <xsd:enumeration value="Archived"/>
        </xsd:restriction>
      </xsd:simpleType>
    </xsd:element>
  </xsd:schema>
  <xsd:schema xmlns:xsd="http://www.w3.org/2001/XMLSchema" xmlns:dms="http://schemas.microsoft.com/office/2006/documentManagement/types" targetNamespace="4bc3c8ef-aed1-4c8f-b23a-ec3bd32f80ef" elementFormDefault="qualified">
    <xsd:import namespace="http://schemas.microsoft.com/office/2006/documentManagement/types"/>
    <xsd:element name="DocumentType" ma:index="12" nillable="true" ma:displayName="Document Type" ma:format="Dropdown" ma:internalName="DocumentType">
      <xsd:simpleType>
        <xsd:restriction base="dms:Choice">
          <xsd:enumeration value="Information Update"/>
          <xsd:enumeration value="Conference Call"/>
          <xsd:enumeration value="Meetings"/>
          <xsd:enumeration value="Agenda"/>
          <xsd:enumeration value="Minutes"/>
          <xsd:enumeration value="Materials"/>
          <xsd:enumeration value="Presentations"/>
          <xsd:enumeration value="Register"/>
        </xsd:restriction>
      </xsd:simpleType>
    </xsd:element>
  </xsd:schema>
  <xsd:schema xmlns:xsd="http://www.w3.org/2001/XMLSchema" xmlns:dms="http://schemas.microsoft.com/office/2006/documentManagement/types" targetNamespace="e5017db1-904e-42a8-a0f6-d98fa826bf6c" elementFormDefault="qualified">
    <xsd:import namespace="http://schemas.microsoft.com/office/2006/documentManagement/types"/>
    <xsd:element name="Category" ma:index="13" nillable="true" ma:displayName="Category" ma:internalName="Category">
      <xsd:simpleType>
        <xsd:restriction base="dms:Choice"/>
      </xsd:simpleType>
    </xsd:element>
    <xsd:element name="Subcategory" ma:index="14" nillable="true" ma:displayName="Subcategory" ma:internalName="Subcategory">
      <xsd:simpleType>
        <xsd:restriction base="dms:Choic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039D-A394-4834-AF69-357649BF204F}"/>
</file>

<file path=customXml/itemProps2.xml><?xml version="1.0" encoding="utf-8"?>
<ds:datastoreItem xmlns:ds="http://schemas.openxmlformats.org/officeDocument/2006/customXml" ds:itemID="{28B9E517-270C-4BA1-BC2C-312B45F47E30}"/>
</file>

<file path=customXml/itemProps3.xml><?xml version="1.0" encoding="utf-8"?>
<ds:datastoreItem xmlns:ds="http://schemas.openxmlformats.org/officeDocument/2006/customXml" ds:itemID="{5E61ACEE-1D30-4321-8C2D-F0AD8C6F28E0}"/>
</file>

<file path=customXml/itemProps4.xml><?xml version="1.0" encoding="utf-8"?>
<ds:datastoreItem xmlns:ds="http://schemas.openxmlformats.org/officeDocument/2006/customXml" ds:itemID="{00ED5BBA-684C-4050-AB20-A658A54C66B8}"/>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MCF_06_18_Liability terms</vt:lpstr>
    </vt:vector>
  </TitlesOfParts>
  <Company>EirGrid</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MCF_06_18_Liability terms</dc:title>
  <dc:creator>McCague, Anne-Marie</dc:creator>
  <dc:description>Updated 09/07/2018</dc:description>
  <cp:lastModifiedBy>Peskova, Lenka</cp:lastModifiedBy>
  <cp:revision>3</cp:revision>
  <cp:lastPrinted>2018-03-26T08:30:00Z</cp:lastPrinted>
  <dcterms:created xsi:type="dcterms:W3CDTF">2018-07-09T14:43:00Z</dcterms:created>
  <dcterms:modified xsi:type="dcterms:W3CDTF">2018-07-09T14:46:00Z</dcterms:modified>
  <cp:contentType>Business Liaison Group</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0x010100265BBC7FA3C9DF40A8B33B7539D53B1D180094F09FCE77E2444F8EC2524B13D1C638</vt:lpwstr>
  </property>
</Properties>
</file>